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4570D87D" w:rsidR="00552D01" w:rsidRPr="009370A7" w:rsidRDefault="001813D0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13E06C81" wp14:editId="1D9B746E">
            <wp:simplePos x="0" y="0"/>
            <wp:positionH relativeFrom="column">
              <wp:posOffset>-25700</wp:posOffset>
            </wp:positionH>
            <wp:positionV relativeFrom="paragraph">
              <wp:posOffset>-86360</wp:posOffset>
            </wp:positionV>
            <wp:extent cx="3069771" cy="117434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9771" cy="117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4"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en-US"/>
        </w:rPr>
        <w:drawing>
          <wp:anchor distT="0" distB="0" distL="114300" distR="114300" simplePos="0" relativeHeight="251658240" behindDoc="1" locked="0" layoutInCell="1" allowOverlap="1" wp14:anchorId="165ED263" wp14:editId="23685F8C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6EB08CBA" w:rsidR="00B071DE" w:rsidRPr="009370A7" w:rsidRDefault="00F40910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Slovenská</w:t>
      </w:r>
      <w:r w:rsidR="00B071DE"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 xml:space="preserve"> republika</w:t>
      </w:r>
    </w:p>
    <w:p w14:paraId="23264BD7" w14:textId="79B9CD60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053877B0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23FA7A2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45DA2EC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2F8A6D5E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71166065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E52EBB6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4C393436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33597EA8" w14:textId="3443CA35" w:rsidR="009F10D4" w:rsidRDefault="00815B68" w:rsidP="00815B68">
      <w:pPr>
        <w:rPr>
          <w:lang w:val="cs-CZ"/>
        </w:rPr>
      </w:pPr>
      <w:r w:rsidRPr="00065DA5">
        <w:rPr>
          <w:lang w:val="cs-CZ"/>
        </w:rPr>
        <w:t xml:space="preserve"> </w:t>
      </w:r>
    </w:p>
    <w:p w14:paraId="016BC15A" w14:textId="77777777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7DF5AAB0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53ACBA5C" w14:textId="2D167BE8" w:rsidR="008846CD" w:rsidRPr="008846CD" w:rsidRDefault="008846CD" w:rsidP="008846CD">
      <w:pPr>
        <w:spacing w:before="120" w:after="360" w:line="276" w:lineRule="atLeast"/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</w:pPr>
      <w:r w:rsidRPr="008846CD">
        <w:rPr>
          <w:rFonts w:ascii="Arial" w:eastAsia="Times New Roman" w:hAnsi="Arial" w:cs="Arial"/>
          <w:color w:val="002F87"/>
          <w:sz w:val="52"/>
          <w:szCs w:val="52"/>
          <w:lang w:val="sk-SK" w:eastAsia="sk-SK"/>
        </w:rPr>
        <w:t>S</w:t>
      </w:r>
      <w:r>
        <w:rPr>
          <w:rFonts w:ascii="Arial" w:eastAsia="Times New Roman" w:hAnsi="Arial" w:cs="Arial"/>
          <w:color w:val="002F87"/>
          <w:sz w:val="52"/>
          <w:szCs w:val="52"/>
          <w:lang w:val="sk-SK" w:eastAsia="sk-SK"/>
        </w:rPr>
        <w:t>kupina</w:t>
      </w:r>
      <w:r w:rsidRPr="008846CD">
        <w:rPr>
          <w:rFonts w:ascii="Arial" w:eastAsia="Times New Roman" w:hAnsi="Arial" w:cs="Arial"/>
          <w:color w:val="002F87"/>
          <w:sz w:val="52"/>
          <w:szCs w:val="52"/>
          <w:lang w:val="sk-SK" w:eastAsia="sk-SK"/>
        </w:rPr>
        <w:t xml:space="preserve"> HARTMANN zvýšila </w:t>
      </w:r>
      <w:r>
        <w:rPr>
          <w:rFonts w:ascii="Arial" w:eastAsia="Times New Roman" w:hAnsi="Arial" w:cs="Arial"/>
          <w:color w:val="002F87"/>
          <w:sz w:val="52"/>
          <w:szCs w:val="52"/>
          <w:lang w:val="sk-SK" w:eastAsia="sk-SK"/>
        </w:rPr>
        <w:t xml:space="preserve">v roku 2019 </w:t>
      </w:r>
      <w:r w:rsidRPr="008846CD">
        <w:rPr>
          <w:rFonts w:ascii="Arial" w:eastAsia="Times New Roman" w:hAnsi="Arial" w:cs="Arial"/>
          <w:color w:val="002F87"/>
          <w:sz w:val="52"/>
          <w:szCs w:val="52"/>
          <w:lang w:val="sk-SK" w:eastAsia="sk-SK"/>
        </w:rPr>
        <w:t>výnosy o 3,2</w:t>
      </w:r>
      <w:r>
        <w:rPr>
          <w:rFonts w:ascii="Arial" w:eastAsia="Times New Roman" w:hAnsi="Arial" w:cs="Arial"/>
          <w:color w:val="002F87"/>
          <w:sz w:val="52"/>
          <w:szCs w:val="52"/>
          <w:lang w:val="sk-SK" w:eastAsia="sk-SK"/>
        </w:rPr>
        <w:t xml:space="preserve"> </w:t>
      </w:r>
      <w:r w:rsidRPr="008846CD">
        <w:rPr>
          <w:rFonts w:ascii="Arial" w:eastAsia="Times New Roman" w:hAnsi="Arial" w:cs="Arial"/>
          <w:color w:val="002F87"/>
          <w:sz w:val="52"/>
          <w:szCs w:val="52"/>
          <w:lang w:val="sk-SK" w:eastAsia="sk-SK"/>
        </w:rPr>
        <w:t xml:space="preserve">% </w:t>
      </w:r>
      <w:r>
        <w:rPr>
          <w:rFonts w:ascii="Arial" w:eastAsia="Times New Roman" w:hAnsi="Arial" w:cs="Arial"/>
          <w:color w:val="002F87"/>
          <w:sz w:val="52"/>
          <w:szCs w:val="52"/>
          <w:lang w:val="sk-SK" w:eastAsia="sk-SK"/>
        </w:rPr>
        <w:t>na 2,2 mld. eur.</w:t>
      </w:r>
    </w:p>
    <w:p w14:paraId="24762D52" w14:textId="5C62E909" w:rsidR="008846CD" w:rsidRPr="008846CD" w:rsidRDefault="008846CD" w:rsidP="001F4401">
      <w:pPr>
        <w:spacing w:before="120" w:after="360" w:line="276" w:lineRule="atLeast"/>
        <w:jc w:val="both"/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</w:pPr>
      <w:proofErr w:type="spellStart"/>
      <w:r w:rsidRPr="008846C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Heidenheim</w:t>
      </w:r>
      <w:proofErr w:type="spellEnd"/>
      <w:r w:rsidRPr="008846C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 xml:space="preserve"> 21. 4.2020 – jeden z najväčších svetových dodávateľov zdravotníckych a hygienických výrobkov splnil očakávania analytikov. Skupina HARTMANN zvýšila </w:t>
      </w:r>
      <w:r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tržby</w:t>
      </w:r>
      <w:r w:rsidRPr="008846C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 xml:space="preserve"> vo všetkých trhových segmentoch s</w:t>
      </w:r>
      <w:r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 </w:t>
      </w:r>
      <w:r w:rsidRPr="008846C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príjmami</w:t>
      </w:r>
      <w:r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, ktoré</w:t>
      </w:r>
      <w:r w:rsidRPr="008846C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 xml:space="preserve"> pred úrok</w:t>
      </w:r>
      <w:r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mi</w:t>
      </w:r>
      <w:r w:rsidRPr="008846C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 xml:space="preserve"> a zdanením (EBIT) </w:t>
      </w:r>
      <w:r w:rsidR="001F4401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dosiahli hodnotu</w:t>
      </w:r>
      <w:r w:rsidRPr="008846C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 xml:space="preserve"> 104</w:t>
      </w:r>
      <w:r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,</w:t>
      </w:r>
      <w:r w:rsidRPr="008846C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4</w:t>
      </w:r>
      <w:r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 xml:space="preserve"> mil. e</w:t>
      </w:r>
      <w:r w:rsidRPr="008846C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ur.</w:t>
      </w:r>
    </w:p>
    <w:p w14:paraId="64B56AB8" w14:textId="24D259E9" w:rsidR="008846CD" w:rsidRPr="008846CD" w:rsidRDefault="00C304A2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C304A2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>„</w:t>
      </w:r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V </w:t>
      </w:r>
      <w:proofErr w:type="spellStart"/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>náročnom</w:t>
      </w:r>
      <w:proofErr w:type="spellEnd"/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>prostredí</w:t>
      </w:r>
      <w:proofErr w:type="spellEnd"/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>sa</w:t>
      </w:r>
      <w:proofErr w:type="spellEnd"/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 nám </w:t>
      </w:r>
      <w:r w:rsid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i v roku 2019 </w:t>
      </w:r>
      <w:proofErr w:type="spellStart"/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>podarilo</w:t>
      </w:r>
      <w:proofErr w:type="spellEnd"/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>pokračovať</w:t>
      </w:r>
      <w:proofErr w:type="spellEnd"/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 v raste,"</w:t>
      </w:r>
      <w:r w:rsidR="001F4401">
        <w:rPr>
          <w:rFonts w:eastAsia="Times New Roman" w:cs="Times New Roman"/>
          <w:i/>
          <w:iCs/>
          <w:color w:val="000000"/>
          <w:szCs w:val="20"/>
          <w:lang w:val="sk-SK" w:eastAsia="sk-SK"/>
        </w:rPr>
        <w:t xml:space="preserve"> 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zhodnotila</w:t>
      </w:r>
      <w:r w:rsidR="008846CD"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proofErr w:type="spellStart"/>
      <w:r w:rsidR="008846CD"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Britta</w:t>
      </w:r>
      <w:proofErr w:type="spellEnd"/>
      <w:r w:rsidR="008846CD"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proofErr w:type="spellStart"/>
      <w:r w:rsid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F</w:t>
      </w:r>
      <w:r w:rsidR="008846CD"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ünfstück</w:t>
      </w:r>
      <w:proofErr w:type="spellEnd"/>
      <w:r w:rsidR="008846CD"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, výkonn</w:t>
      </w:r>
      <w:r w:rsid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á</w:t>
      </w:r>
      <w:r w:rsidR="008846CD"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riaditeľ</w:t>
      </w:r>
      <w:r w:rsid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ka spoločnosti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.</w:t>
      </w:r>
      <w:r w:rsid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„</w:t>
      </w:r>
      <w:r w:rsid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>M</w:t>
      </w:r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>inulý rok bol finančný výsledok Hartmann Group v rámci predpokladov, aj keď pod úrovňou</w:t>
      </w:r>
      <w:r w:rsid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 xml:space="preserve"> roku</w:t>
      </w:r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 xml:space="preserve"> 2018. Podľa nariadenia o zdravotníckych pomôckach</w:t>
      </w:r>
      <w:r w:rsid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 xml:space="preserve"> sme úspešne certifikovali portfólio našich produktov</w:t>
      </w:r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>. T</w:t>
      </w:r>
      <w:r w:rsid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>ým sme</w:t>
      </w:r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 xml:space="preserve"> vytvoril</w:t>
      </w:r>
      <w:r w:rsid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>i</w:t>
      </w:r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 xml:space="preserve"> dôležitý základ pre budúce podnikanie a pozíciu </w:t>
      </w:r>
      <w:r w:rsid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 xml:space="preserve">silného </w:t>
      </w:r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 xml:space="preserve">partnera. Úspešne sme </w:t>
      </w:r>
      <w:r w:rsid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>uviedli na trh</w:t>
      </w:r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 xml:space="preserve"> hlavné produkty. Finančný výsledok</w:t>
      </w:r>
      <w:r w:rsid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 xml:space="preserve"> roku</w:t>
      </w:r>
      <w:r w:rsidR="008846CD" w:rsidRPr="008846CD">
        <w:rPr>
          <w:rFonts w:ascii="Arial" w:eastAsia="Times New Roman" w:hAnsi="Arial" w:cs="Arial"/>
          <w:i/>
          <w:iCs/>
          <w:color w:val="000000"/>
          <w:sz w:val="22"/>
          <w:szCs w:val="22"/>
          <w:lang w:val="sk-SK" w:eastAsia="sk-SK"/>
        </w:rPr>
        <w:t xml:space="preserve"> 2019 bol ovplyvnený aj vnútorným transformačným programom."</w:t>
      </w:r>
    </w:p>
    <w:p w14:paraId="1ECBFD12" w14:textId="77777777" w:rsidR="008846CD" w:rsidRPr="008846CD" w:rsidRDefault="008846CD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8846CD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 </w:t>
      </w:r>
    </w:p>
    <w:p w14:paraId="12B8686B" w14:textId="71A500DB" w:rsidR="008846CD" w:rsidRPr="008846CD" w:rsidRDefault="008846CD" w:rsidP="001F4401">
      <w:pPr>
        <w:spacing w:line="230" w:lineRule="atLeast"/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8846CD">
        <w:rPr>
          <w:rFonts w:ascii="Arial" w:eastAsia="Times New Roman" w:hAnsi="Arial" w:cs="Arial"/>
          <w:b/>
          <w:bCs/>
          <w:color w:val="009BDF"/>
          <w:szCs w:val="20"/>
          <w:lang w:val="sk-SK" w:eastAsia="sk-SK"/>
        </w:rPr>
        <w:t>Rast predaja vo všetkých segmentoch, najmä v</w:t>
      </w:r>
      <w:r>
        <w:rPr>
          <w:rFonts w:ascii="Arial" w:eastAsia="Times New Roman" w:hAnsi="Arial" w:cs="Arial"/>
          <w:b/>
          <w:bCs/>
          <w:color w:val="009BDF"/>
          <w:szCs w:val="20"/>
          <w:lang w:val="sk-SK" w:eastAsia="sk-SK"/>
        </w:rPr>
        <w:t> oblasti ošetrovania</w:t>
      </w:r>
      <w:r w:rsidRPr="008846CD">
        <w:rPr>
          <w:rFonts w:ascii="Arial" w:eastAsia="Times New Roman" w:hAnsi="Arial" w:cs="Arial"/>
          <w:b/>
          <w:bCs/>
          <w:color w:val="009BDF"/>
          <w:szCs w:val="20"/>
          <w:lang w:val="sk-SK" w:eastAsia="sk-SK"/>
        </w:rPr>
        <w:t xml:space="preserve"> rán</w:t>
      </w:r>
    </w:p>
    <w:p w14:paraId="478A9249" w14:textId="55BA5977" w:rsidR="008846CD" w:rsidRPr="008846CD" w:rsidRDefault="008846CD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N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árast konsolidovan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ých tržieb o 3,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2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% na 2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,2 miliardy eur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potiahol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najmä 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organický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rast (2,8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%). Napriek sprísnen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ým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podmienk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am trhu sa podarilo zvýšiť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predaj vo všetkých segmentoch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. Tržby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sa zvýšili v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 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oblasti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 w:rsidRPr="008846CD">
        <w:rPr>
          <w:rFonts w:ascii="Arial" w:eastAsia="Times New Roman" w:hAnsi="Arial" w:cs="Arial"/>
          <w:b/>
          <w:bCs/>
          <w:color w:val="000000"/>
          <w:sz w:val="22"/>
          <w:szCs w:val="22"/>
          <w:lang w:val="sk-SK" w:eastAsia="sk-SK"/>
        </w:rPr>
        <w:t>ošetrovania rán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s medziročným nárastom o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6,1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% 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a dosiahli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503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,3 milióna eur vďaka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silné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mu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dopytu po moderných 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spôsoboch liečby rán a 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superabsorbčnom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krytí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. 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Silu tohto segmentu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umocila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aj akvizícia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francúzskej spoločnosti </w:t>
      </w:r>
      <w:proofErr w:type="spellStart"/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Safran</w:t>
      </w:r>
      <w:proofErr w:type="spellEnd"/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Coating</w:t>
      </w:r>
      <w:proofErr w:type="spellEnd"/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S.A.S. (teraz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Advanced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Silicone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Coating</w:t>
      </w:r>
      <w:proofErr w:type="spellEnd"/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S.A.S.)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.</w:t>
      </w:r>
    </w:p>
    <w:p w14:paraId="2A1AC3F3" w14:textId="77777777" w:rsidR="008846CD" w:rsidRPr="008846CD" w:rsidRDefault="008846CD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8846CD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 </w:t>
      </w:r>
    </w:p>
    <w:p w14:paraId="5FDC1B6A" w14:textId="24B1945D" w:rsidR="008846CD" w:rsidRPr="008846CD" w:rsidRDefault="008846CD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Tržby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v segmente </w:t>
      </w:r>
      <w:r w:rsidRPr="008846CD">
        <w:rPr>
          <w:rFonts w:ascii="Arial" w:eastAsia="Times New Roman" w:hAnsi="Arial" w:cs="Arial"/>
          <w:b/>
          <w:bCs/>
          <w:color w:val="000000"/>
          <w:sz w:val="22"/>
          <w:szCs w:val="22"/>
          <w:lang w:val="sk-SK" w:eastAsia="sk-SK"/>
        </w:rPr>
        <w:t>inkontinencie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 predstavovali 702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,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8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milióna eur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(zvýšenie o 0,8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% v porovnaní s 2018) hlavne 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vďaka produktom určeným pre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ambulantn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ú liečbu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. V segmente </w:t>
      </w:r>
      <w:r w:rsidRPr="008846CD">
        <w:rPr>
          <w:rFonts w:ascii="Arial" w:eastAsia="Times New Roman" w:hAnsi="Arial" w:cs="Arial"/>
          <w:b/>
          <w:bCs/>
          <w:color w:val="000000"/>
          <w:sz w:val="22"/>
          <w:szCs w:val="22"/>
          <w:lang w:val="sk-SK" w:eastAsia="sk-SK"/>
        </w:rPr>
        <w:t>prevencie infekcií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sk-SK" w:eastAsia="sk-SK"/>
        </w:rPr>
        <w:t xml:space="preserve">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tržby vzrást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li o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2,1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% na 515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,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9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milióna eur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vďaka úspechu kľúčov</w:t>
      </w:r>
      <w:r w:rsid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ého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produkt</w:t>
      </w:r>
      <w:r w:rsid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u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, ktorý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m</w:t>
      </w:r>
      <w:r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bol</w:t>
      </w:r>
      <w:r w:rsid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a dezinfekcia rúk.</w:t>
      </w:r>
    </w:p>
    <w:p w14:paraId="1A149F0E" w14:textId="77777777" w:rsidR="008846CD" w:rsidRPr="008846CD" w:rsidRDefault="008846CD" w:rsidP="001F4401">
      <w:pPr>
        <w:spacing w:line="230" w:lineRule="atLeast"/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8846CD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 </w:t>
      </w:r>
    </w:p>
    <w:p w14:paraId="16FE7B6F" w14:textId="225BBA14" w:rsidR="005C14BF" w:rsidRDefault="005C14BF" w:rsidP="001F440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</w:pP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Tržby v ostatných oblastiach podnikania skupiny poskočili o 5,2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% na 464,8 milión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a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eur najmä vďaka dcérskym spoločnostiam. Úspešne rástla aj dcérska skupina KOB, špička globálneho trhu špeciálnych zdravotníckych textílií.</w:t>
      </w:r>
    </w:p>
    <w:p w14:paraId="799473FE" w14:textId="52B8CF88" w:rsidR="008846CD" w:rsidRPr="008846CD" w:rsidRDefault="008846CD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8846CD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 </w:t>
      </w:r>
    </w:p>
    <w:p w14:paraId="4F32E1AA" w14:textId="463069E4" w:rsidR="008846CD" w:rsidRPr="008846CD" w:rsidRDefault="005C14BF" w:rsidP="001F4401">
      <w:pPr>
        <w:spacing w:line="230" w:lineRule="atLeast"/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Dve tretiny (67,2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%) konsolidovaných tržieb sa realizovali mimo nemecký trh. V Nemecku HARTMANN zvýšil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tržby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o 2,2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%. V Európe dosiahla skupina obrat 2 mld. 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e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ur, čo je o 3,2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% viac ako v roku 2018.  tržby v regiónoch Afriky, Ázie a Oceánie prekonali priemerný rast tržieb celej skupiny. Naopak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,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kvôli zefektívneniu obchodn</w:t>
      </w:r>
      <w:r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ého portfólia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 xml:space="preserve"> poklesli tržby na americkom trhu.</w:t>
      </w:r>
      <w:r w:rsidR="008846CD" w:rsidRPr="008846CD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.</w:t>
      </w:r>
    </w:p>
    <w:p w14:paraId="6E08237A" w14:textId="77777777" w:rsidR="008846CD" w:rsidRPr="008846CD" w:rsidRDefault="008846CD" w:rsidP="001F4401">
      <w:pPr>
        <w:spacing w:line="230" w:lineRule="atLeast"/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 </w:t>
      </w:r>
    </w:p>
    <w:p w14:paraId="4945EEAA" w14:textId="24E99D51" w:rsidR="008846CD" w:rsidRPr="008846CD" w:rsidRDefault="008846CD" w:rsidP="001F4401">
      <w:pPr>
        <w:spacing w:line="230" w:lineRule="atLeast"/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proofErr w:type="spellStart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Finančn</w:t>
      </w:r>
      <w:r w:rsid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á</w:t>
      </w:r>
      <w:proofErr w:type="spellEnd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</w:t>
      </w:r>
      <w:proofErr w:type="spellStart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situ</w:t>
      </w:r>
      <w:r w:rsid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ácia</w:t>
      </w:r>
      <w:proofErr w:type="spellEnd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</w:t>
      </w:r>
      <w:proofErr w:type="spellStart"/>
      <w:r w:rsid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naďalej</w:t>
      </w:r>
      <w:proofErr w:type="spellEnd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</w:t>
      </w:r>
      <w:proofErr w:type="spellStart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stabiln</w:t>
      </w:r>
      <w:r w:rsid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á</w:t>
      </w:r>
      <w:proofErr w:type="spellEnd"/>
      <w:r w:rsid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</w:t>
      </w:r>
      <w:proofErr w:type="spellStart"/>
      <w:r w:rsid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napriek</w:t>
      </w:r>
      <w:proofErr w:type="spellEnd"/>
      <w:r w:rsid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</w:t>
      </w:r>
      <w:proofErr w:type="spellStart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negat</w:t>
      </w:r>
      <w:r w:rsid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ívnym</w:t>
      </w:r>
      <w:proofErr w:type="spellEnd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</w:t>
      </w:r>
      <w:proofErr w:type="spellStart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dopad</w:t>
      </w:r>
      <w:r w:rsid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om</w:t>
      </w:r>
      <w:proofErr w:type="spellEnd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na </w:t>
      </w:r>
      <w:proofErr w:type="spellStart"/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p</w:t>
      </w:r>
      <w:r w:rsid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r</w:t>
      </w:r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íjmy</w:t>
      </w:r>
      <w:proofErr w:type="spellEnd"/>
    </w:p>
    <w:p w14:paraId="665A56C0" w14:textId="42A37AB6" w:rsidR="005C14BF" w:rsidRPr="005C14BF" w:rsidRDefault="005C14BF" w:rsidP="001F440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</w:pP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Zisk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pred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zdanením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a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úrokmi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(EBIT)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dosiah</w:t>
      </w:r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ol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na konci roka 104,4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milión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eur,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čo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zodpovedá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4,8</w:t>
      </w:r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% marž</w:t>
      </w:r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i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. Jej pokles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odráža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predovšetkým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cenový tlak na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predajných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trhoch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,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ktor</w:t>
      </w:r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ému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čelia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najmä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segmenty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i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nkontinenci</w:t>
      </w:r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e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revenci</w:t>
      </w:r>
      <w:r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e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infekcií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.</w:t>
      </w:r>
    </w:p>
    <w:p w14:paraId="32BEEB14" w14:textId="77777777" w:rsidR="005C14BF" w:rsidRPr="005C14BF" w:rsidRDefault="005C14BF" w:rsidP="001F440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</w:pPr>
    </w:p>
    <w:p w14:paraId="614D243F" w14:textId="6C2AD4BF" w:rsidR="005C14BF" w:rsidRPr="005C14BF" w:rsidRDefault="005C14BF" w:rsidP="001F440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</w:pP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Negatívny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vplyv na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finančný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výsledok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mali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aj vysoké náklady spojené so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zavádzaním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nového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nariadenia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o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zdravotníckych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pomôckach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(MDR) a dopady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jednorazových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opatrení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na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prispôsobenie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portfólia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späté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s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odpredajom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skupiny SANIMED a ukončením neziskových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obchodov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v Austrálii. Konsolidovaný čistý zisk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v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medziročnom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porovnaní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znížil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o 20,8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milión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na 62,9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milión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eur.</w:t>
      </w:r>
    </w:p>
    <w:p w14:paraId="677477C0" w14:textId="77777777" w:rsidR="005C14BF" w:rsidRPr="005C14BF" w:rsidRDefault="005C14BF" w:rsidP="001F440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</w:pPr>
    </w:p>
    <w:p w14:paraId="7A22EC0B" w14:textId="1FAA93FB" w:rsidR="005C14BF" w:rsidRPr="005C14BF" w:rsidRDefault="005C14BF" w:rsidP="001F440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</w:pP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Finančná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situácia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skupiny HARTMANN je aj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naďalej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stabiln</w:t>
      </w:r>
      <w:r w:rsidR="00C304A2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á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.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Vzhľadom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k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akvizícii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spoločnosti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Safran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Coating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a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zvýšeni</w:t>
      </w:r>
      <w:r w:rsidR="00C304A2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u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pracovného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kapitálu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znížilo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voľné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cash-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flow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na</w:t>
      </w:r>
      <w:r w:rsidR="001F4401"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69 </w:t>
      </w:r>
      <w:proofErr w:type="spellStart"/>
      <w:r w:rsidR="001F4401"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miliónov</w:t>
      </w:r>
      <w:proofErr w:type="spellEnd"/>
      <w:r w:rsidR="001F4401"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eur 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(v roku 2018 79,2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milióna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eur). Čistá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finančná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pozícia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zostala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kladná na úrovni 33,5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milióna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eur (o rok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skôr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to bolo 104,5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milióna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eur),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pričom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medziročný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pokles bol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spôsobený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aplikáciou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medzinárodných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účtovných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štandardov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(IFRS 16).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Pri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očisten</w:t>
      </w:r>
      <w:r w:rsidR="00C304A2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í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od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týchto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metodických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zmien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čistá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finančná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situácia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zlepšila o necelých 10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miliónov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eur.</w:t>
      </w:r>
    </w:p>
    <w:p w14:paraId="28C66665" w14:textId="77777777" w:rsidR="005C14BF" w:rsidRPr="005C14BF" w:rsidRDefault="005C14BF" w:rsidP="001F440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</w:pPr>
    </w:p>
    <w:p w14:paraId="2CEB0203" w14:textId="04F17DF3" w:rsidR="008846CD" w:rsidRPr="008846CD" w:rsidRDefault="005C14BF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Pomer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vlastného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kapitálu na celkových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aktívach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(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equity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ratio)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zostáva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naďalej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vysoký,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hoci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pokles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o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l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na 57,9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% z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predchádzajúcich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61,6</w:t>
      </w:r>
      <w:r w:rsidR="001F4401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% v roku 2018.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Stabilne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kvalitn</w:t>
      </w:r>
      <w:r w:rsidR="00C304A2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á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finančn</w:t>
      </w:r>
      <w:r w:rsidR="00C304A2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á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základňa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skupiny bude aj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naďalej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jednou z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charakteristík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spoločnosti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gram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HARTMANN.</w:t>
      </w:r>
      <w:r w:rsidR="008846CD" w:rsidRPr="008846CD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.</w:t>
      </w:r>
      <w:proofErr w:type="gramEnd"/>
    </w:p>
    <w:p w14:paraId="4EB8E908" w14:textId="77777777" w:rsidR="008846CD" w:rsidRPr="008846CD" w:rsidRDefault="008846CD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8846CD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 </w:t>
      </w:r>
    </w:p>
    <w:p w14:paraId="6C025332" w14:textId="77777777" w:rsidR="005C14BF" w:rsidRPr="005C14BF" w:rsidRDefault="005C14BF" w:rsidP="001F4401">
      <w:pPr>
        <w:jc w:val="both"/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</w:pPr>
      <w:proofErr w:type="spellStart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Mierny</w:t>
      </w:r>
      <w:proofErr w:type="spellEnd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nárast</w:t>
      </w:r>
      <w:proofErr w:type="spellEnd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počtu </w:t>
      </w:r>
      <w:proofErr w:type="spellStart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zamestnancov</w:t>
      </w:r>
      <w:proofErr w:type="spellEnd"/>
    </w:p>
    <w:p w14:paraId="310BA95E" w14:textId="7F7E587C" w:rsidR="008846CD" w:rsidRPr="008846CD" w:rsidRDefault="005C14BF" w:rsidP="001F440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</w:pP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Počet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zamestnancov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gram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v</w:t>
      </w:r>
      <w:proofErr w:type="gram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skupine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HARTMANN GROUP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sa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zvýšil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celkovo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na 11 096 (na konci roka 2018 skupina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zamestnávala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11 027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ľudí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). To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zodpovedá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nárastu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o 0,6</w:t>
      </w:r>
      <w:r w:rsidR="00C304A2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%. Počet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zamestnancov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na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hlavných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európskych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trhoch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vzrástol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o 233 z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dôvodov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akvizícií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a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navýšeni</w:t>
      </w:r>
      <w:r w:rsidR="00C304A2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výroby.</w:t>
      </w:r>
    </w:p>
    <w:p w14:paraId="276D4D59" w14:textId="77777777" w:rsidR="008846CD" w:rsidRPr="008846CD" w:rsidRDefault="008846CD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8846CD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 </w:t>
      </w:r>
    </w:p>
    <w:p w14:paraId="66963A1F" w14:textId="77777777" w:rsidR="005C14BF" w:rsidRDefault="005C14BF" w:rsidP="001F4401">
      <w:pPr>
        <w:jc w:val="both"/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</w:pPr>
      <w:proofErr w:type="spellStart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Výhľad</w:t>
      </w:r>
      <w:proofErr w:type="spellEnd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: </w:t>
      </w:r>
      <w:proofErr w:type="spellStart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Potvrdenie</w:t>
      </w:r>
      <w:proofErr w:type="spellEnd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cieľa</w:t>
      </w:r>
      <w:proofErr w:type="spellEnd"/>
      <w:r w:rsidRPr="005C14BF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 xml:space="preserve"> na celý rok 2020</w:t>
      </w:r>
    </w:p>
    <w:p w14:paraId="1DD497DD" w14:textId="3BF21FB5" w:rsidR="008846CD" w:rsidRDefault="005C14BF" w:rsidP="001F440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</w:pPr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Skupina HARTMANN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očakáva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v roku 2020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mierny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rast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tržieb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a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ukazovateľ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EBITDA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vo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výške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medzi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159 a 176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miliónmi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eur. </w:t>
      </w:r>
      <w:r w:rsidR="00C304A2">
        <w:rPr>
          <w:rFonts w:ascii="Arial" w:eastAsia="Times New Roman" w:hAnsi="Arial" w:cs="Arial"/>
          <w:color w:val="000000"/>
          <w:sz w:val="22"/>
          <w:szCs w:val="22"/>
          <w:lang w:val="sk-SK" w:eastAsia="sk-SK"/>
        </w:rPr>
        <w:t>„</w:t>
      </w:r>
      <w:proofErr w:type="spellStart"/>
      <w:r w:rsidRPr="00C304A2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>Súčasťou</w:t>
      </w:r>
      <w:proofErr w:type="spellEnd"/>
      <w:r w:rsidRPr="00C304A2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C304A2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>nášho</w:t>
      </w:r>
      <w:proofErr w:type="spellEnd"/>
      <w:r w:rsidRPr="00C304A2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 strategického programu </w:t>
      </w:r>
      <w:proofErr w:type="spellStart"/>
      <w:r w:rsidRPr="00C304A2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>transformácie</w:t>
      </w:r>
      <w:proofErr w:type="spellEnd"/>
      <w:r w:rsidRPr="00C304A2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 na rok 2020 sú významné </w:t>
      </w:r>
      <w:proofErr w:type="spellStart"/>
      <w:r w:rsidRPr="00C304A2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>investície</w:t>
      </w:r>
      <w:proofErr w:type="spellEnd"/>
      <w:r w:rsidRPr="00C304A2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 xml:space="preserve"> do </w:t>
      </w:r>
      <w:proofErr w:type="spellStart"/>
      <w:r w:rsidRPr="00C304A2">
        <w:rPr>
          <w:rFonts w:ascii="Arial" w:eastAsia="Times New Roman" w:hAnsi="Arial" w:cs="Arial"/>
          <w:i/>
          <w:iCs/>
          <w:color w:val="000000"/>
          <w:sz w:val="22"/>
          <w:szCs w:val="22"/>
          <w:lang w:val="cs-CZ" w:eastAsia="sk-SK"/>
        </w:rPr>
        <w:t>budúcnosti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,"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zdôrazňuje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výkonná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riaditeľka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Britta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 xml:space="preserve"> </w:t>
      </w:r>
      <w:proofErr w:type="spellStart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Fünfstück</w:t>
      </w:r>
      <w:proofErr w:type="spellEnd"/>
      <w:r w:rsidRPr="005C14BF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.</w:t>
      </w:r>
      <w:r w:rsidR="008846CD" w:rsidRPr="008846CD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 </w:t>
      </w:r>
    </w:p>
    <w:p w14:paraId="52B74848" w14:textId="77777777" w:rsidR="00A5367D" w:rsidRPr="008846CD" w:rsidRDefault="00A5367D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</w:p>
    <w:p w14:paraId="7FD2ACC2" w14:textId="77777777" w:rsidR="008846CD" w:rsidRPr="008846CD" w:rsidRDefault="008846CD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8846CD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 </w:t>
      </w:r>
    </w:p>
    <w:p w14:paraId="503A8683" w14:textId="6C2E240F" w:rsidR="008846CD" w:rsidRDefault="008846CD" w:rsidP="001F4401">
      <w:pPr>
        <w:jc w:val="both"/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</w:pPr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Skupina HARTMANN</w:t>
      </w:r>
    </w:p>
    <w:p w14:paraId="1FC31A0B" w14:textId="1D8BC5F6" w:rsidR="00C304A2" w:rsidRPr="00C304A2" w:rsidRDefault="00C304A2" w:rsidP="001F4401">
      <w:pPr>
        <w:jc w:val="both"/>
        <w:rPr>
          <w:rFonts w:ascii="Arial" w:eastAsia="Times New Roman" w:hAnsi="Arial" w:cs="Arial"/>
          <w:color w:val="000000"/>
          <w:szCs w:val="20"/>
          <w:lang w:val="cs-CZ" w:eastAsia="sk-SK"/>
        </w:rPr>
      </w:pP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Skupina HARTMANN je jedným z popredných výrobcov a dodávateľov zdravotníckych a hygienických výrobkov v troch kľúčových oblastiach, ktorými sú </w:t>
      </w:r>
      <w:r w:rsidRPr="00C304A2">
        <w:rPr>
          <w:rFonts w:ascii="Arial" w:eastAsia="Times New Roman" w:hAnsi="Arial" w:cs="Arial"/>
          <w:b/>
          <w:bCs/>
          <w:color w:val="000000"/>
          <w:szCs w:val="20"/>
          <w:lang w:val="cs-CZ" w:eastAsia="sk-SK"/>
        </w:rPr>
        <w:t>Ošetrovanie rán</w:t>
      </w: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(napr. </w:t>
      </w:r>
      <w:proofErr w:type="spellStart"/>
      <w:r>
        <w:rPr>
          <w:rFonts w:ascii="Arial" w:eastAsia="Times New Roman" w:hAnsi="Arial" w:cs="Arial"/>
          <w:color w:val="000000"/>
          <w:szCs w:val="20"/>
          <w:lang w:val="cs-CZ" w:eastAsia="sk-SK"/>
        </w:rPr>
        <w:t>o</w:t>
      </w: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bväzy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na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poranenia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a rany, podtlaková terapia, bandáže a náplasti), </w:t>
      </w:r>
      <w:proofErr w:type="spellStart"/>
      <w:r w:rsidRPr="00C304A2">
        <w:rPr>
          <w:rFonts w:ascii="Arial" w:eastAsia="Times New Roman" w:hAnsi="Arial" w:cs="Arial"/>
          <w:b/>
          <w:bCs/>
          <w:color w:val="000000"/>
          <w:szCs w:val="20"/>
          <w:lang w:val="cs-CZ" w:eastAsia="sk-SK"/>
        </w:rPr>
        <w:t>Starostlivosť</w:t>
      </w:r>
      <w:proofErr w:type="spellEnd"/>
      <w:r w:rsidRPr="00C304A2">
        <w:rPr>
          <w:rFonts w:ascii="Arial" w:eastAsia="Times New Roman" w:hAnsi="Arial" w:cs="Arial"/>
          <w:b/>
          <w:bCs/>
          <w:color w:val="000000"/>
          <w:szCs w:val="20"/>
          <w:lang w:val="cs-CZ" w:eastAsia="sk-SK"/>
        </w:rPr>
        <w:t xml:space="preserve"> o </w:t>
      </w:r>
      <w:proofErr w:type="spellStart"/>
      <w:r w:rsidRPr="00C304A2">
        <w:rPr>
          <w:rFonts w:ascii="Arial" w:eastAsia="Times New Roman" w:hAnsi="Arial" w:cs="Arial"/>
          <w:b/>
          <w:bCs/>
          <w:color w:val="000000"/>
          <w:szCs w:val="20"/>
          <w:lang w:val="cs-CZ" w:eastAsia="sk-SK"/>
        </w:rPr>
        <w:t>inkontinenci</w:t>
      </w:r>
      <w:r>
        <w:rPr>
          <w:rFonts w:ascii="Arial" w:eastAsia="Times New Roman" w:hAnsi="Arial" w:cs="Arial"/>
          <w:b/>
          <w:bCs/>
          <w:color w:val="000000"/>
          <w:szCs w:val="20"/>
          <w:lang w:val="cs-CZ" w:eastAsia="sk-SK"/>
        </w:rPr>
        <w:t>u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(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inkontinenčné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nohavičky, vložky, podložky, ako aj výrobky starostlivosti o pokožku pre použitie v prípade inkontinencie) a</w:t>
      </w:r>
      <w:r w:rsidRPr="00C304A2">
        <w:rPr>
          <w:rFonts w:ascii="Arial" w:eastAsia="Times New Roman" w:hAnsi="Arial" w:cs="Arial"/>
          <w:b/>
          <w:bCs/>
          <w:color w:val="000000"/>
          <w:szCs w:val="20"/>
          <w:lang w:val="cs-CZ" w:eastAsia="sk-SK"/>
        </w:rPr>
        <w:t xml:space="preserve"> Prevencia infekcií</w:t>
      </w: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(napr. jednorazové operačné sety a rúška, chirurgické odevy, nástroje na jedno použitie a dezinfekčné prostriedky). Jej produktové portfólio zahŕňa okrem iného napr. </w:t>
      </w:r>
      <w:r>
        <w:rPr>
          <w:rFonts w:ascii="Arial" w:eastAsia="Times New Roman" w:hAnsi="Arial" w:cs="Arial"/>
          <w:color w:val="000000"/>
          <w:szCs w:val="20"/>
          <w:lang w:val="cs-CZ" w:eastAsia="sk-SK"/>
        </w:rPr>
        <w:t>a</w:t>
      </w: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j výrobky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kompresívn</w:t>
      </w:r>
      <w:r>
        <w:rPr>
          <w:rFonts w:ascii="Arial" w:eastAsia="Times New Roman" w:hAnsi="Arial" w:cs="Arial"/>
          <w:color w:val="000000"/>
          <w:szCs w:val="20"/>
          <w:lang w:val="cs-CZ" w:eastAsia="sk-SK"/>
        </w:rPr>
        <w:t>ej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terapi</w:t>
      </w:r>
      <w:r>
        <w:rPr>
          <w:rFonts w:ascii="Arial" w:eastAsia="Times New Roman" w:hAnsi="Arial" w:cs="Arial"/>
          <w:color w:val="000000"/>
          <w:szCs w:val="20"/>
          <w:lang w:val="cs-CZ" w:eastAsia="sk-SK"/>
        </w:rPr>
        <w:t>e</w:t>
      </w: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,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prvej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pomoci,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stomické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pomôcky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a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kozmetiku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. Skupina HARTMANN okrem samotných produktov ďalej ponúka inovatívne riešenia a služby pre odborné cieľové skupiny v zdravotníckom sektore. Skupina HARTMANN má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svoju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centrálu v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nemeckom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Heidenheime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a</w:t>
      </w:r>
      <w:r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jej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kľúčovým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trhom</w:t>
      </w:r>
      <w:proofErr w:type="spellEnd"/>
      <w:r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Cs w:val="20"/>
          <w:lang w:val="cs-CZ" w:eastAsia="sk-SK"/>
        </w:rPr>
        <w:t>Európa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. V roku 2019 dosiahla tržby 2,2 miliardy eur. Skupina HARTMANN zamestnáva celosvetovo 11 096 ľudí.</w:t>
      </w:r>
    </w:p>
    <w:p w14:paraId="1ACAC87A" w14:textId="77777777" w:rsidR="00C304A2" w:rsidRPr="00C304A2" w:rsidRDefault="00C304A2" w:rsidP="001F4401">
      <w:pPr>
        <w:jc w:val="both"/>
        <w:rPr>
          <w:rFonts w:ascii="Arial" w:eastAsia="Times New Roman" w:hAnsi="Arial" w:cs="Arial"/>
          <w:color w:val="000000"/>
          <w:szCs w:val="20"/>
          <w:lang w:val="cs-CZ" w:eastAsia="sk-SK"/>
        </w:rPr>
      </w:pP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 </w:t>
      </w:r>
    </w:p>
    <w:p w14:paraId="412A32AF" w14:textId="360709A0" w:rsidR="00C304A2" w:rsidRPr="00C304A2" w:rsidRDefault="00C304A2" w:rsidP="001F4401">
      <w:pPr>
        <w:jc w:val="both"/>
        <w:rPr>
          <w:rFonts w:ascii="Arial" w:eastAsia="Times New Roman" w:hAnsi="Arial" w:cs="Arial"/>
          <w:color w:val="000000"/>
          <w:szCs w:val="20"/>
          <w:lang w:val="cs-CZ" w:eastAsia="sk-SK"/>
        </w:rPr>
      </w:pP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PAUL HARTMANN AG (centrála) je jedným z najstarších nemeckých priemyselných podnikov, ktoré boli pôvodne založené ako textilné výrobné závody v roku 1818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Ludwigom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von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Hartmannom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. V roku 1873 jeho syn Paul Hartmann začal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v</w:t>
      </w:r>
      <w:r>
        <w:rPr>
          <w:rFonts w:ascii="Arial" w:eastAsia="Times New Roman" w:hAnsi="Arial" w:cs="Arial"/>
          <w:color w:val="000000"/>
          <w:szCs w:val="20"/>
          <w:lang w:val="cs-CZ" w:eastAsia="sk-SK"/>
        </w:rPr>
        <w:t>yrábať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absorpčné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vaty a neskôr sa spoločnosť stala vlajkovou loďou celosvetovo sa rozširujúceho priemyslu obväzových materiálov. Skupina HARTMANN zahŕňa nielen viac ako 30 obchodných spoločnosti v zahraničí, ale aj, okrem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iného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, ​​firmu BODE Chemie (Hamburg), KNEIPP (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Würzburg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), Karl Otto Braun (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Wolfstein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) a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Sanimed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(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Ibbenbüren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).</w:t>
      </w:r>
    </w:p>
    <w:p w14:paraId="2AC97CDE" w14:textId="03442727" w:rsidR="00512673" w:rsidRPr="00C304A2" w:rsidRDefault="00512673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</w:p>
    <w:sectPr w:rsidR="00512673" w:rsidRPr="00C304A2" w:rsidSect="00A5367D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709" w:right="1134" w:bottom="1702" w:left="851" w:header="708" w:footer="5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EF5B" w14:textId="77777777" w:rsidR="0095364B" w:rsidRDefault="0095364B" w:rsidP="00442139">
      <w:r>
        <w:separator/>
      </w:r>
    </w:p>
  </w:endnote>
  <w:endnote w:type="continuationSeparator" w:id="0">
    <w:p w14:paraId="565EB7D4" w14:textId="77777777" w:rsidR="0095364B" w:rsidRDefault="0095364B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Calibri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A17616" w:rsidRDefault="00A1761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A17616" w:rsidRDefault="00A17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1E065A0C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46A9D0F3" w:rsidR="00A17616" w:rsidRPr="00B071DE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66D49C54" w:rsidR="00A17616" w:rsidRDefault="00A17616" w:rsidP="00A216C0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  </w:t>
    </w:r>
  </w:p>
  <w:p w14:paraId="365DA79A" w14:textId="74B931E8" w:rsidR="00A17616" w:rsidRDefault="00A5367D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71552" behindDoc="1" locked="0" layoutInCell="1" allowOverlap="1" wp14:anchorId="17469AF4" wp14:editId="04F7EEB5">
          <wp:simplePos x="0" y="0"/>
          <wp:positionH relativeFrom="column">
            <wp:posOffset>5067300</wp:posOffset>
          </wp:positionH>
          <wp:positionV relativeFrom="page">
            <wp:posOffset>9322435</wp:posOffset>
          </wp:positionV>
          <wp:extent cx="1118235" cy="953770"/>
          <wp:effectExtent l="0" t="0" r="0" b="0"/>
          <wp:wrapNone/>
          <wp:docPr id="3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23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7B758" w14:textId="021D70A9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17616" w:rsidRPr="00B071DE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A17616" w:rsidRPr="00B071DE" w:rsidRDefault="00A17616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A17616" w:rsidRPr="009C1DDB" w:rsidRDefault="00A1761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A17616" w:rsidRPr="00B071DE" w:rsidRDefault="00A176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A571" w14:textId="77777777" w:rsidR="00A5367D" w:rsidRDefault="00A5367D" w:rsidP="00967B99">
    <w:pPr>
      <w:pStyle w:val="Zpat"/>
      <w:rPr>
        <w:rFonts w:ascii="Arial" w:hAnsi="Arial" w:cs="Arial"/>
        <w:b/>
        <w:color w:val="002F87"/>
        <w:sz w:val="19"/>
        <w:szCs w:val="19"/>
      </w:rPr>
    </w:pPr>
  </w:p>
  <w:p w14:paraId="07875E0C" w14:textId="77777777" w:rsidR="00A5367D" w:rsidRDefault="00A5367D" w:rsidP="00967B99">
    <w:pPr>
      <w:pStyle w:val="Zpat"/>
      <w:rPr>
        <w:rFonts w:ascii="Arial" w:hAnsi="Arial" w:cs="Arial"/>
        <w:b/>
        <w:color w:val="002F87"/>
        <w:sz w:val="19"/>
        <w:szCs w:val="19"/>
      </w:rPr>
    </w:pPr>
  </w:p>
  <w:p w14:paraId="12B7E246" w14:textId="512EB29F" w:rsidR="00A17616" w:rsidRPr="00A5367D" w:rsidRDefault="00A176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a.s.</w:t>
    </w:r>
    <w:proofErr w:type="spellEnd"/>
  </w:p>
  <w:p w14:paraId="337052B3" w14:textId="15084325" w:rsidR="00A17616" w:rsidRDefault="00A17616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>. 77, 664 71 Veverská Bítýška</w:t>
    </w:r>
  </w:p>
  <w:p w14:paraId="7904AFD7" w14:textId="43DABD4C" w:rsidR="00A5367D" w:rsidRDefault="00A5367D" w:rsidP="00967B99">
    <w:pPr>
      <w:pStyle w:val="Zpat"/>
      <w:rPr>
        <w:rFonts w:ascii="Arial" w:hAnsi="Arial" w:cs="Arial"/>
        <w:sz w:val="19"/>
        <w:szCs w:val="19"/>
      </w:rPr>
    </w:pPr>
  </w:p>
  <w:p w14:paraId="52392759" w14:textId="089A47FF" w:rsidR="00A5367D" w:rsidRPr="007A7FAA" w:rsidRDefault="00A5367D" w:rsidP="00A5367D">
    <w:pPr>
      <w:pStyle w:val="Zpat"/>
      <w:rPr>
        <w:rFonts w:ascii="Arial" w:hAnsi="Arial" w:cs="Arial"/>
        <w:color w:val="002F87"/>
        <w:sz w:val="19"/>
        <w:szCs w:val="19"/>
        <w:lang w:val="cs-CZ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9504" behindDoc="1" locked="0" layoutInCell="1" allowOverlap="1" wp14:anchorId="672AAD73" wp14:editId="2CB9A981">
          <wp:simplePos x="0" y="0"/>
          <wp:positionH relativeFrom="column">
            <wp:posOffset>5096510</wp:posOffset>
          </wp:positionH>
          <wp:positionV relativeFrom="page">
            <wp:posOffset>9284970</wp:posOffset>
          </wp:positionV>
          <wp:extent cx="1118235" cy="953770"/>
          <wp:effectExtent l="0" t="0" r="0" b="0"/>
          <wp:wrapNone/>
          <wp:docPr id="3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23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Irena Malá</w:t>
    </w:r>
  </w:p>
  <w:p w14:paraId="75A75639" w14:textId="0CCCFB3A" w:rsidR="00A5367D" w:rsidRPr="007A7FAA" w:rsidRDefault="00A5367D" w:rsidP="00A5367D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724 671 102</w:t>
    </w:r>
  </w:p>
  <w:p w14:paraId="2FA3C131" w14:textId="77777777" w:rsidR="00A5367D" w:rsidRPr="007A7FAA" w:rsidRDefault="00A5367D" w:rsidP="00A5367D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irena.mala@hartmann.info</w:t>
    </w:r>
  </w:p>
  <w:p w14:paraId="4D699E08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0F26F738" w:rsidR="00A17616" w:rsidRPr="009C1DDB" w:rsidRDefault="00AA75DE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14:paraId="2A84A534" w14:textId="718FED0B" w:rsidR="00A17616" w:rsidRPr="009C1DDB" w:rsidRDefault="00A1761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A17616" w:rsidRDefault="00A1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D363" w14:textId="77777777" w:rsidR="0095364B" w:rsidRDefault="0095364B" w:rsidP="00442139">
      <w:r>
        <w:separator/>
      </w:r>
    </w:p>
  </w:footnote>
  <w:footnote w:type="continuationSeparator" w:id="0">
    <w:p w14:paraId="4ED9606D" w14:textId="77777777" w:rsidR="0095364B" w:rsidRDefault="0095364B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A17616" w:rsidRDefault="00A17616">
    <w:pPr>
      <w:pStyle w:val="Zhlav"/>
    </w:pPr>
  </w:p>
  <w:p w14:paraId="73ACDCF0" w14:textId="77777777" w:rsidR="00A17616" w:rsidRDefault="00A1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42A29"/>
    <w:rsid w:val="000465DF"/>
    <w:rsid w:val="00065237"/>
    <w:rsid w:val="00065DA5"/>
    <w:rsid w:val="0006618F"/>
    <w:rsid w:val="00071108"/>
    <w:rsid w:val="00074D8F"/>
    <w:rsid w:val="000864B8"/>
    <w:rsid w:val="000D1D92"/>
    <w:rsid w:val="000D2080"/>
    <w:rsid w:val="000E1732"/>
    <w:rsid w:val="000F1DBA"/>
    <w:rsid w:val="000F7825"/>
    <w:rsid w:val="00104455"/>
    <w:rsid w:val="0010559E"/>
    <w:rsid w:val="001100E0"/>
    <w:rsid w:val="001369B8"/>
    <w:rsid w:val="0015687F"/>
    <w:rsid w:val="00174EE8"/>
    <w:rsid w:val="001813D0"/>
    <w:rsid w:val="001B1552"/>
    <w:rsid w:val="001D4B68"/>
    <w:rsid w:val="001E7F03"/>
    <w:rsid w:val="001F1FB1"/>
    <w:rsid w:val="001F4401"/>
    <w:rsid w:val="00242DEB"/>
    <w:rsid w:val="0026374F"/>
    <w:rsid w:val="00263987"/>
    <w:rsid w:val="00276CF7"/>
    <w:rsid w:val="00285D44"/>
    <w:rsid w:val="002C428B"/>
    <w:rsid w:val="002C6439"/>
    <w:rsid w:val="002C7E35"/>
    <w:rsid w:val="002F1149"/>
    <w:rsid w:val="003149CD"/>
    <w:rsid w:val="00314C76"/>
    <w:rsid w:val="00322DCB"/>
    <w:rsid w:val="00330394"/>
    <w:rsid w:val="00352EC8"/>
    <w:rsid w:val="00380A8F"/>
    <w:rsid w:val="003841E0"/>
    <w:rsid w:val="00391F4B"/>
    <w:rsid w:val="003A05FD"/>
    <w:rsid w:val="003C335C"/>
    <w:rsid w:val="003C46F9"/>
    <w:rsid w:val="003E557C"/>
    <w:rsid w:val="00442139"/>
    <w:rsid w:val="00443317"/>
    <w:rsid w:val="00450308"/>
    <w:rsid w:val="00451ABD"/>
    <w:rsid w:val="004A40A9"/>
    <w:rsid w:val="004F4D4B"/>
    <w:rsid w:val="00501794"/>
    <w:rsid w:val="00512673"/>
    <w:rsid w:val="0053725E"/>
    <w:rsid w:val="00552D01"/>
    <w:rsid w:val="00565B5A"/>
    <w:rsid w:val="00573199"/>
    <w:rsid w:val="0059589B"/>
    <w:rsid w:val="005A1B76"/>
    <w:rsid w:val="005B65BC"/>
    <w:rsid w:val="005C14BF"/>
    <w:rsid w:val="005D4D8E"/>
    <w:rsid w:val="005E201C"/>
    <w:rsid w:val="00603E61"/>
    <w:rsid w:val="00675069"/>
    <w:rsid w:val="006A233A"/>
    <w:rsid w:val="006A6C75"/>
    <w:rsid w:val="006A7A3A"/>
    <w:rsid w:val="006B3E57"/>
    <w:rsid w:val="006B7D8B"/>
    <w:rsid w:val="006C18B2"/>
    <w:rsid w:val="006C3979"/>
    <w:rsid w:val="006F6239"/>
    <w:rsid w:val="00705D4A"/>
    <w:rsid w:val="00720B71"/>
    <w:rsid w:val="00730680"/>
    <w:rsid w:val="00735C35"/>
    <w:rsid w:val="00755240"/>
    <w:rsid w:val="00756B23"/>
    <w:rsid w:val="00776EDD"/>
    <w:rsid w:val="00797D42"/>
    <w:rsid w:val="007B7B66"/>
    <w:rsid w:val="007C562D"/>
    <w:rsid w:val="007F728C"/>
    <w:rsid w:val="008047AB"/>
    <w:rsid w:val="00815B68"/>
    <w:rsid w:val="00816925"/>
    <w:rsid w:val="00840793"/>
    <w:rsid w:val="008806EF"/>
    <w:rsid w:val="008815B2"/>
    <w:rsid w:val="008846CD"/>
    <w:rsid w:val="008A3A47"/>
    <w:rsid w:val="008C4001"/>
    <w:rsid w:val="008F114F"/>
    <w:rsid w:val="00905296"/>
    <w:rsid w:val="009052BD"/>
    <w:rsid w:val="00933C8A"/>
    <w:rsid w:val="009370A7"/>
    <w:rsid w:val="009532F5"/>
    <w:rsid w:val="0095364B"/>
    <w:rsid w:val="00967B99"/>
    <w:rsid w:val="00972254"/>
    <w:rsid w:val="009761BA"/>
    <w:rsid w:val="009A709C"/>
    <w:rsid w:val="009B7624"/>
    <w:rsid w:val="009C1DDB"/>
    <w:rsid w:val="009E0514"/>
    <w:rsid w:val="009E4492"/>
    <w:rsid w:val="009F10D4"/>
    <w:rsid w:val="009F2C7A"/>
    <w:rsid w:val="009F4AA3"/>
    <w:rsid w:val="00A0309A"/>
    <w:rsid w:val="00A068F3"/>
    <w:rsid w:val="00A06EA0"/>
    <w:rsid w:val="00A17616"/>
    <w:rsid w:val="00A216C0"/>
    <w:rsid w:val="00A246C4"/>
    <w:rsid w:val="00A5367D"/>
    <w:rsid w:val="00A61BD2"/>
    <w:rsid w:val="00A61FA2"/>
    <w:rsid w:val="00A648B0"/>
    <w:rsid w:val="00A71458"/>
    <w:rsid w:val="00A9608E"/>
    <w:rsid w:val="00AA75DE"/>
    <w:rsid w:val="00AC2B6F"/>
    <w:rsid w:val="00AE35E1"/>
    <w:rsid w:val="00AE7386"/>
    <w:rsid w:val="00B071DE"/>
    <w:rsid w:val="00B455DB"/>
    <w:rsid w:val="00BC147D"/>
    <w:rsid w:val="00BD30A9"/>
    <w:rsid w:val="00C304A2"/>
    <w:rsid w:val="00C54A90"/>
    <w:rsid w:val="00C74AC1"/>
    <w:rsid w:val="00C830A9"/>
    <w:rsid w:val="00C93DCA"/>
    <w:rsid w:val="00CB4042"/>
    <w:rsid w:val="00CD73F6"/>
    <w:rsid w:val="00CE105C"/>
    <w:rsid w:val="00CF6241"/>
    <w:rsid w:val="00CF7133"/>
    <w:rsid w:val="00D0436B"/>
    <w:rsid w:val="00D119C4"/>
    <w:rsid w:val="00D15CC5"/>
    <w:rsid w:val="00D5283D"/>
    <w:rsid w:val="00D615C8"/>
    <w:rsid w:val="00D74521"/>
    <w:rsid w:val="00D813A8"/>
    <w:rsid w:val="00D95DD0"/>
    <w:rsid w:val="00D973AB"/>
    <w:rsid w:val="00DB4F4B"/>
    <w:rsid w:val="00DC114F"/>
    <w:rsid w:val="00DC3F78"/>
    <w:rsid w:val="00DC472E"/>
    <w:rsid w:val="00DC7DC3"/>
    <w:rsid w:val="00DF5D8E"/>
    <w:rsid w:val="00E021F3"/>
    <w:rsid w:val="00E17D7C"/>
    <w:rsid w:val="00E252DA"/>
    <w:rsid w:val="00E27BC7"/>
    <w:rsid w:val="00E30960"/>
    <w:rsid w:val="00E507D3"/>
    <w:rsid w:val="00E730FE"/>
    <w:rsid w:val="00EA0212"/>
    <w:rsid w:val="00EA6779"/>
    <w:rsid w:val="00EB0073"/>
    <w:rsid w:val="00EC6307"/>
    <w:rsid w:val="00ED7F90"/>
    <w:rsid w:val="00F321E8"/>
    <w:rsid w:val="00F40910"/>
    <w:rsid w:val="00F74780"/>
    <w:rsid w:val="00F869CD"/>
    <w:rsid w:val="00F97A6B"/>
    <w:rsid w:val="00FA1ECB"/>
    <w:rsid w:val="00FA7240"/>
    <w:rsid w:val="00FC4171"/>
    <w:rsid w:val="00FC4B0D"/>
    <w:rsid w:val="00FD5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paragraph" w:styleId="Normlnweb">
    <w:name w:val="Normal (Web)"/>
    <w:basedOn w:val="Normln"/>
    <w:uiPriority w:val="99"/>
    <w:semiHidden/>
    <w:unhideWhenUsed/>
    <w:rsid w:val="00EB0073"/>
    <w:pPr>
      <w:spacing w:before="100" w:beforeAutospacing="1" w:after="100" w:afterAutospacing="1"/>
    </w:pPr>
    <w:rPr>
      <w:rFonts w:ascii="Calibri" w:hAnsi="Calibri" w:cs="Calibri"/>
      <w:sz w:val="22"/>
      <w:szCs w:val="22"/>
      <w:lang w:val="cs-CZ" w:eastAsia="cs-CZ"/>
    </w:rPr>
  </w:style>
  <w:style w:type="paragraph" w:customStyle="1" w:styleId="hrperex0">
    <w:name w:val="hrperex"/>
    <w:basedOn w:val="Normln"/>
    <w:rsid w:val="00884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1" ma:contentTypeDescription="Create a new document." ma:contentTypeScope="" ma:versionID="a63465fdde42e3257fa31f4fff0ccc7e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c42c821c9dce3d2c440e50dbba16c010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A503-6B17-42A3-974C-13B85569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575DD-FC5A-439F-8F96-21F098AC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F9F4CF-4730-4C8D-BB8F-7F6454B3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6002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Zelka Habalova</cp:lastModifiedBy>
  <cp:revision>2</cp:revision>
  <cp:lastPrinted>2019-08-23T10:16:00Z</cp:lastPrinted>
  <dcterms:created xsi:type="dcterms:W3CDTF">2020-04-23T21:17:00Z</dcterms:created>
  <dcterms:modified xsi:type="dcterms:W3CDTF">2020-04-23T21:17:00Z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